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EA880" w14:textId="77777777" w:rsidR="007A157B" w:rsidRDefault="007A157B" w:rsidP="001C3528">
      <w:pPr>
        <w:jc w:val="center"/>
        <w:rPr>
          <w:b/>
          <w:bCs/>
        </w:rPr>
      </w:pPr>
    </w:p>
    <w:p w14:paraId="5E50586E" w14:textId="77777777" w:rsidR="007A157B" w:rsidRDefault="007A157B" w:rsidP="007A157B">
      <w:pPr>
        <w:jc w:val="center"/>
      </w:pPr>
      <w:r w:rsidRPr="001C3528">
        <w:rPr>
          <w:b/>
          <w:bCs/>
        </w:rPr>
        <w:t xml:space="preserve">The </w:t>
      </w:r>
      <w:r>
        <w:rPr>
          <w:b/>
          <w:bCs/>
        </w:rPr>
        <w:t>I</w:t>
      </w:r>
      <w:r w:rsidRPr="001C3528">
        <w:rPr>
          <w:b/>
          <w:bCs/>
        </w:rPr>
        <w:t xml:space="preserve">ntersection of the </w:t>
      </w:r>
      <w:r>
        <w:rPr>
          <w:b/>
          <w:bCs/>
        </w:rPr>
        <w:t>N</w:t>
      </w:r>
      <w:r w:rsidRPr="001C3528">
        <w:rPr>
          <w:b/>
          <w:bCs/>
        </w:rPr>
        <w:t xml:space="preserve">etwork </w:t>
      </w:r>
      <w:r>
        <w:rPr>
          <w:b/>
          <w:bCs/>
        </w:rPr>
        <w:t>S</w:t>
      </w:r>
      <w:r w:rsidRPr="001C3528">
        <w:rPr>
          <w:b/>
          <w:bCs/>
        </w:rPr>
        <w:t xml:space="preserve">ociety and </w:t>
      </w:r>
      <w:r>
        <w:rPr>
          <w:b/>
          <w:bCs/>
        </w:rPr>
        <w:t>C</w:t>
      </w:r>
      <w:r w:rsidRPr="001C3528">
        <w:rPr>
          <w:b/>
          <w:bCs/>
        </w:rPr>
        <w:t xml:space="preserve">oloniality and the </w:t>
      </w:r>
      <w:r>
        <w:rPr>
          <w:b/>
          <w:bCs/>
        </w:rPr>
        <w:t>E</w:t>
      </w:r>
      <w:r w:rsidRPr="001C3528">
        <w:rPr>
          <w:b/>
          <w:bCs/>
        </w:rPr>
        <w:t xml:space="preserve">mergence of a </w:t>
      </w:r>
      <w:r>
        <w:rPr>
          <w:b/>
          <w:bCs/>
        </w:rPr>
        <w:t>V</w:t>
      </w:r>
      <w:r w:rsidRPr="001C3528">
        <w:rPr>
          <w:b/>
          <w:bCs/>
        </w:rPr>
        <w:t xml:space="preserve">irtual </w:t>
      </w:r>
      <w:r>
        <w:rPr>
          <w:b/>
          <w:bCs/>
        </w:rPr>
        <w:t>C</w:t>
      </w:r>
      <w:r w:rsidRPr="001C3528">
        <w:rPr>
          <w:b/>
          <w:bCs/>
        </w:rPr>
        <w:t xml:space="preserve">olonial </w:t>
      </w:r>
      <w:r>
        <w:rPr>
          <w:b/>
          <w:bCs/>
        </w:rPr>
        <w:t>S</w:t>
      </w:r>
      <w:r w:rsidRPr="001C3528">
        <w:rPr>
          <w:b/>
          <w:bCs/>
        </w:rPr>
        <w:t>ystem</w:t>
      </w:r>
    </w:p>
    <w:p w14:paraId="1406DF00" w14:textId="77777777" w:rsidR="00D05C12" w:rsidRDefault="00D05C12" w:rsidP="007A157B">
      <w:pPr>
        <w:jc w:val="center"/>
      </w:pPr>
    </w:p>
    <w:p w14:paraId="0238CB40" w14:textId="77777777" w:rsidR="00D05C12" w:rsidRDefault="00D05C12" w:rsidP="007A157B">
      <w:pPr>
        <w:jc w:val="center"/>
      </w:pPr>
    </w:p>
    <w:p w14:paraId="61AB8224" w14:textId="0D48F898" w:rsidR="00D05C12" w:rsidRDefault="00D05C12" w:rsidP="007A157B">
      <w:pPr>
        <w:jc w:val="center"/>
      </w:pPr>
      <w:r>
        <w:t>Sarah D. Evans</w:t>
      </w:r>
    </w:p>
    <w:p w14:paraId="11BFFA5F" w14:textId="5EBCDBD1" w:rsidR="00D05C12" w:rsidRDefault="00D05C12" w:rsidP="007A157B">
      <w:pPr>
        <w:jc w:val="center"/>
      </w:pPr>
      <w:r>
        <w:t>North Carolina State University</w:t>
      </w:r>
    </w:p>
    <w:p w14:paraId="4109DAC9" w14:textId="1B87D495" w:rsidR="00D05C12" w:rsidRDefault="00D05C12" w:rsidP="007A157B">
      <w:pPr>
        <w:jc w:val="center"/>
      </w:pPr>
      <w:r>
        <w:t>COMM</w:t>
      </w:r>
      <w:r w:rsidR="000A3FE3">
        <w:t xml:space="preserve"> 521: Communication and Globalization</w:t>
      </w:r>
    </w:p>
    <w:p w14:paraId="19DBA110" w14:textId="37343A7B" w:rsidR="00754C71" w:rsidRDefault="00754C71" w:rsidP="007A157B">
      <w:pPr>
        <w:jc w:val="center"/>
      </w:pPr>
      <w:r w:rsidRPr="00754C71">
        <w:t>Dr. Tugce Ertem-Eray</w:t>
      </w:r>
    </w:p>
    <w:p w14:paraId="479151E3" w14:textId="6BE107C2" w:rsidR="00754C71" w:rsidRPr="00D4302D" w:rsidRDefault="00FE2AE6" w:rsidP="007A157B">
      <w:pPr>
        <w:jc w:val="center"/>
      </w:pPr>
      <w:r>
        <w:t>June 20, 2025</w:t>
      </w:r>
    </w:p>
    <w:p w14:paraId="7C04D0C2" w14:textId="77777777" w:rsidR="005E2931" w:rsidRDefault="005E2931" w:rsidP="007A157B">
      <w:pPr>
        <w:jc w:val="center"/>
        <w:rPr>
          <w:b/>
          <w:bCs/>
        </w:rPr>
      </w:pPr>
    </w:p>
    <w:p w14:paraId="540B6F33" w14:textId="77777777" w:rsidR="005E2931" w:rsidRDefault="005E2931">
      <w:pPr>
        <w:rPr>
          <w:b/>
          <w:bCs/>
        </w:rPr>
      </w:pPr>
      <w:r>
        <w:rPr>
          <w:b/>
          <w:bCs/>
        </w:rPr>
        <w:br w:type="page"/>
      </w:r>
    </w:p>
    <w:p w14:paraId="09BF637F" w14:textId="77777777" w:rsidR="005E2931" w:rsidRDefault="005E2931" w:rsidP="007A157B">
      <w:pPr>
        <w:jc w:val="center"/>
      </w:pPr>
      <w:r>
        <w:rPr>
          <w:b/>
          <w:bCs/>
        </w:rPr>
        <w:lastRenderedPageBreak/>
        <w:t>Abstract</w:t>
      </w:r>
    </w:p>
    <w:p w14:paraId="5DB1C8B7" w14:textId="77777777" w:rsidR="00E82A90" w:rsidRDefault="00825D77" w:rsidP="00C21C00">
      <w:pPr>
        <w:spacing w:line="480" w:lineRule="auto"/>
        <w:ind w:firstLine="720"/>
      </w:pPr>
      <w:r>
        <w:t xml:space="preserve">The ways in which the emerging network society described by Manuel Castells is intersecting with coloniality is creating a new, virtual colonial system in the spheres of global communication and technology. </w:t>
      </w:r>
      <w:r w:rsidR="009D3045">
        <w:t>Understanding t</w:t>
      </w:r>
      <w:r>
        <w:t xml:space="preserve">his is important to the current discourse because as new global communication technologies develop, the influences of historic systems on information flows and the unevenness of access to infrastructures of communication and technology must be identified and addressed. </w:t>
      </w:r>
      <w:r w:rsidR="00C21C00">
        <w:t>This</w:t>
      </w:r>
      <w:r w:rsidR="00C21C00" w:rsidRPr="00C21C00">
        <w:t xml:space="preserve"> intersection expands beyond historic boundaries of nation and culture to create new virtual pathways and information flows that subaltern groups can use to create agency for themselves. </w:t>
      </w:r>
    </w:p>
    <w:p w14:paraId="0E1F9DA9" w14:textId="09DF41F7" w:rsidR="007A157B" w:rsidRPr="00C21C00" w:rsidRDefault="00E82A90" w:rsidP="00E82A90">
      <w:pPr>
        <w:spacing w:line="480" w:lineRule="auto"/>
        <w:ind w:firstLine="720"/>
      </w:pPr>
      <w:r>
        <w:rPr>
          <w:i/>
          <w:iCs/>
        </w:rPr>
        <w:t xml:space="preserve">Keywords: </w:t>
      </w:r>
      <w:r>
        <w:t xml:space="preserve">network society, </w:t>
      </w:r>
      <w:r w:rsidR="00B1149F">
        <w:t xml:space="preserve">data colonialism, digital divide, global communication </w:t>
      </w:r>
      <w:r w:rsidR="00587196">
        <w:t>infrastructures</w:t>
      </w:r>
      <w:r w:rsidR="007A157B" w:rsidRPr="00C21C00">
        <w:br w:type="page"/>
      </w:r>
    </w:p>
    <w:p w14:paraId="1B19A8AA" w14:textId="6C72E09B" w:rsidR="00AE0285" w:rsidRPr="001C3528" w:rsidRDefault="00773BE2" w:rsidP="001C3528">
      <w:pPr>
        <w:jc w:val="center"/>
        <w:rPr>
          <w:b/>
          <w:bCs/>
        </w:rPr>
      </w:pPr>
      <w:r w:rsidRPr="001C3528">
        <w:rPr>
          <w:b/>
          <w:bCs/>
        </w:rPr>
        <w:lastRenderedPageBreak/>
        <w:t xml:space="preserve">The </w:t>
      </w:r>
      <w:r w:rsidR="001C3528">
        <w:rPr>
          <w:b/>
          <w:bCs/>
        </w:rPr>
        <w:t>I</w:t>
      </w:r>
      <w:r w:rsidRPr="001C3528">
        <w:rPr>
          <w:b/>
          <w:bCs/>
        </w:rPr>
        <w:t xml:space="preserve">ntersection of the </w:t>
      </w:r>
      <w:r w:rsidR="001C3528">
        <w:rPr>
          <w:b/>
          <w:bCs/>
        </w:rPr>
        <w:t>N</w:t>
      </w:r>
      <w:r w:rsidRPr="001C3528">
        <w:rPr>
          <w:b/>
          <w:bCs/>
        </w:rPr>
        <w:t xml:space="preserve">etwork </w:t>
      </w:r>
      <w:r w:rsidR="001C3528">
        <w:rPr>
          <w:b/>
          <w:bCs/>
        </w:rPr>
        <w:t>S</w:t>
      </w:r>
      <w:r w:rsidRPr="001C3528">
        <w:rPr>
          <w:b/>
          <w:bCs/>
        </w:rPr>
        <w:t xml:space="preserve">ociety and </w:t>
      </w:r>
      <w:r w:rsidR="001C3528">
        <w:rPr>
          <w:b/>
          <w:bCs/>
        </w:rPr>
        <w:t>C</w:t>
      </w:r>
      <w:r w:rsidRPr="001C3528">
        <w:rPr>
          <w:b/>
          <w:bCs/>
        </w:rPr>
        <w:t xml:space="preserve">oloniality and the </w:t>
      </w:r>
      <w:r w:rsidR="001C3528">
        <w:rPr>
          <w:b/>
          <w:bCs/>
        </w:rPr>
        <w:t>E</w:t>
      </w:r>
      <w:r w:rsidRPr="001C3528">
        <w:rPr>
          <w:b/>
          <w:bCs/>
        </w:rPr>
        <w:t xml:space="preserve">mergence of a </w:t>
      </w:r>
      <w:r w:rsidR="001C3528">
        <w:rPr>
          <w:b/>
          <w:bCs/>
        </w:rPr>
        <w:t>V</w:t>
      </w:r>
      <w:r w:rsidRPr="001C3528">
        <w:rPr>
          <w:b/>
          <w:bCs/>
        </w:rPr>
        <w:t xml:space="preserve">irtual </w:t>
      </w:r>
      <w:r w:rsidR="001C3528">
        <w:rPr>
          <w:b/>
          <w:bCs/>
        </w:rPr>
        <w:t>C</w:t>
      </w:r>
      <w:r w:rsidRPr="001C3528">
        <w:rPr>
          <w:b/>
          <w:bCs/>
        </w:rPr>
        <w:t xml:space="preserve">olonial </w:t>
      </w:r>
      <w:r w:rsidR="001C3528">
        <w:rPr>
          <w:b/>
          <w:bCs/>
        </w:rPr>
        <w:t>S</w:t>
      </w:r>
      <w:r w:rsidRPr="001C3528">
        <w:rPr>
          <w:b/>
          <w:bCs/>
        </w:rPr>
        <w:t>ystem</w:t>
      </w:r>
    </w:p>
    <w:p w14:paraId="040BD739" w14:textId="77777777" w:rsidR="009474A8" w:rsidRDefault="009474A8" w:rsidP="009474A8"/>
    <w:p w14:paraId="62C128AE" w14:textId="033E0737" w:rsidR="00082363" w:rsidRDefault="00082363" w:rsidP="00082363">
      <w:pPr>
        <w:spacing w:line="480" w:lineRule="auto"/>
        <w:ind w:firstLine="720"/>
      </w:pPr>
      <w:r w:rsidRPr="00082363">
        <w:t xml:space="preserve">Globalization is a term that has different meanings to different groups in different contexts, encompassing a wide range of disciplines and concepts. It is easy to see where technological advances have increased global capacity for communication which could lead to </w:t>
      </w:r>
      <w:r w:rsidR="00CD3F6A" w:rsidRPr="00082363">
        <w:t>the reshaping</w:t>
      </w:r>
      <w:r w:rsidRPr="00082363">
        <w:t xml:space="preserve"> of underlying social structures. Regardless of how globalization is defined, the changes it is bringing about still reflect coloniality in an emerging digital society. Robertson and White assert that the primary concerns of globalization are cultural, social (including global communication), political and economic (Robertson and White, 2007, p. 58). In this paper I </w:t>
      </w:r>
      <w:r>
        <w:t>will</w:t>
      </w:r>
      <w:r w:rsidRPr="00082363">
        <w:t xml:space="preserve"> discuss the ways in which the emerging network society as described by Manuel Castells is intersecting with coloniality to create a new, virtual colonial system in the spheres of global communication and technology and the role consumers play in developing this network</w:t>
      </w:r>
      <w:r>
        <w:t xml:space="preserve">. </w:t>
      </w:r>
    </w:p>
    <w:p w14:paraId="34762247" w14:textId="7724B580" w:rsidR="00DB00BA" w:rsidRPr="00DB00BA" w:rsidRDefault="00DB00BA" w:rsidP="00DB00BA">
      <w:pPr>
        <w:spacing w:line="480" w:lineRule="auto"/>
        <w:rPr>
          <w:b/>
          <w:bCs/>
          <w:color w:val="FF0000"/>
        </w:rPr>
      </w:pPr>
      <w:r>
        <w:rPr>
          <w:b/>
          <w:bCs/>
        </w:rPr>
        <w:t>The Network Society and Coloniality</w:t>
      </w:r>
    </w:p>
    <w:p w14:paraId="4D8C44E6" w14:textId="03E6E736" w:rsidR="00A27EAF" w:rsidRPr="005D6B20" w:rsidRDefault="009474A8" w:rsidP="005D6B20">
      <w:pPr>
        <w:spacing w:line="480" w:lineRule="auto"/>
        <w:ind w:firstLine="720"/>
      </w:pPr>
      <w:r w:rsidRPr="009474A8">
        <w:t>The network society is described by Manuel Castells as a new kind of social organization</w:t>
      </w:r>
      <w:r w:rsidR="00666D5B">
        <w:t xml:space="preserve"> developing</w:t>
      </w:r>
      <w:r w:rsidRPr="009474A8">
        <w:t xml:space="preserve"> in the late 20th century</w:t>
      </w:r>
      <w:r w:rsidR="00666D5B">
        <w:t xml:space="preserve"> and</w:t>
      </w:r>
      <w:r w:rsidRPr="009474A8">
        <w:t xml:space="preserve"> organized around networks: “networks constitute the new social morphology of our societies, and the diffusion of networking logic substantially modifies the operation and outcomes in processes of production, experience, power and culture.” He argues that this networking logic supersedes the pre-existing social network structures,</w:t>
      </w:r>
      <w:r w:rsidR="00666D5B">
        <w:t xml:space="preserve"> and</w:t>
      </w:r>
      <w:r w:rsidRPr="009474A8">
        <w:t xml:space="preserve"> that “the power of flows takes precedence over the flows of power,” (Castells, 2010, p. 500)</w:t>
      </w:r>
      <w:r w:rsidR="00666D5B">
        <w:t>;</w:t>
      </w:r>
      <w:r w:rsidRPr="009474A8">
        <w:t xml:space="preserve"> that the global flows of ideas and information now take </w:t>
      </w:r>
      <w:r w:rsidRPr="009474A8">
        <w:lastRenderedPageBreak/>
        <w:t>precedence over traditional flows of power across the world.</w:t>
      </w:r>
      <w:r w:rsidR="00D25356">
        <w:t xml:space="preserve"> </w:t>
      </w:r>
      <w:r w:rsidRPr="009474A8">
        <w:t>The network society was conceptualized by Castells, and he describes it as a social structure where “networks enabled by digital technologies are the primary means of organizing and exchanging information, power and capital,” (Castells, 2010, p. 500).</w:t>
      </w:r>
      <w:r>
        <w:t xml:space="preserve"> </w:t>
      </w:r>
      <w:r w:rsidR="008B05F7" w:rsidRPr="00D75262">
        <w:t>Communication and technology develop out of the pre-existing structures, pathways and logics and so carr</w:t>
      </w:r>
      <w:r w:rsidR="008B05F7">
        <w:t>y</w:t>
      </w:r>
      <w:r w:rsidR="008B05F7" w:rsidRPr="00D75262">
        <w:t xml:space="preserve"> the flaws of those structures into the new society.</w:t>
      </w:r>
      <w:r w:rsidR="008B05F7">
        <w:t xml:space="preserve"> According to Graham, “</w:t>
      </w:r>
      <w:r w:rsidR="008B05F7" w:rsidRPr="006F0CB3">
        <w:t>Legacies of economic imbalances and inequalities concerning capacity, power, and access to opportunities clearly persist, and they continue to affect who partakes in and benefits from emerging digital economies at the world’s economic margins</w:t>
      </w:r>
      <w:r w:rsidR="008B05F7">
        <w:t>,” (Graham,</w:t>
      </w:r>
      <w:r w:rsidR="00981AAE">
        <w:t xml:space="preserve"> 2019,</w:t>
      </w:r>
      <w:r w:rsidR="008B05F7">
        <w:t xml:space="preserve"> p. 10).</w:t>
      </w:r>
      <w:r w:rsidR="00593E5D">
        <w:t xml:space="preserve"> </w:t>
      </w:r>
      <w:r w:rsidRPr="009474A8">
        <w:t>This network society developed over pre-existing communication technology infrastructures, which reflect the influence of colonialism primarily by access to resources, skills, and education, and subsequently who will be able to participate in the emerging society and ultimately, who can most strongly benefit from the interactions. This path of development has created a digital divide globally between those who have access to global communication infrastructures and technology and those who do not.</w:t>
      </w:r>
      <w:r>
        <w:t xml:space="preserve"> </w:t>
      </w:r>
      <w:r w:rsidRPr="009474A8">
        <w:t xml:space="preserve">The impact of the digital divide is described by Stefania Milan and Emiliano </w:t>
      </w:r>
      <w:r w:rsidR="00201D3A" w:rsidRPr="009474A8">
        <w:t>Treré</w:t>
      </w:r>
      <w:r w:rsidRPr="009474A8">
        <w:t xml:space="preserve"> when they quote Boaventura De Sousa Santos in their article for Television &amp; New Media: “Western modernity has supplied the knowledge underlying colonialism, and later global capitalism: both historical processes have marginalized and devalued the knowledge as well as the specific ways of knowing of the Global South (Santos 2014),” (Milan and </w:t>
      </w:r>
      <w:proofErr w:type="spellStart"/>
      <w:r w:rsidRPr="009474A8">
        <w:t>Treré</w:t>
      </w:r>
      <w:proofErr w:type="spellEnd"/>
      <w:r w:rsidRPr="009474A8">
        <w:t>, 2019, p. 321).</w:t>
      </w:r>
      <w:r w:rsidR="00E9323C">
        <w:t xml:space="preserve"> </w:t>
      </w:r>
      <w:r w:rsidR="003506BA" w:rsidRPr="003506BA">
        <w:t xml:space="preserve">Digital colonialism is an example of a new form of the old structures perpetrated by organizations who have power.  According to Michael Kwet, “by controlling the digital ecosystem, Big Tech corporations </w:t>
      </w:r>
      <w:r w:rsidR="003506BA" w:rsidRPr="003506BA">
        <w:lastRenderedPageBreak/>
        <w:t>control computer-mediated experiences, giving them direct power over political, economic and cultural domains of life” (</w:t>
      </w:r>
      <w:proofErr w:type="spellStart"/>
      <w:r w:rsidR="003506BA" w:rsidRPr="003506BA">
        <w:t>Kwet</w:t>
      </w:r>
      <w:proofErr w:type="spellEnd"/>
      <w:r w:rsidR="003506BA" w:rsidRPr="003506BA">
        <w:t>, 2019, p.3). Major tech firms originated and are based in Global North countries—primarily the United States, Europe and China—which positions them to have outsize influence on global communications.</w:t>
      </w:r>
    </w:p>
    <w:p w14:paraId="21B2A5CF" w14:textId="7DBDB60B" w:rsidR="00E9323C" w:rsidRDefault="00E9323C" w:rsidP="00E9323C">
      <w:pPr>
        <w:spacing w:line="480" w:lineRule="auto"/>
        <w:ind w:firstLine="720"/>
      </w:pPr>
      <w:r w:rsidRPr="00E9323C">
        <w:t xml:space="preserve">Because the technology underlying the network society was conceptualized and developed in the </w:t>
      </w:r>
      <w:r>
        <w:t>Global North, those</w:t>
      </w:r>
      <w:r w:rsidRPr="00E9323C">
        <w:t xml:space="preserve"> ideas and biases</w:t>
      </w:r>
      <w:r>
        <w:t>,</w:t>
      </w:r>
      <w:r w:rsidRPr="00E9323C">
        <w:t xml:space="preserve"> including Eurocentrism, are prevalent in the standards, assumptions and interactions that take place and are deeply ingrained in the content and flows of ideas in online human networks.</w:t>
      </w:r>
      <w:r w:rsidR="00666D5B">
        <w:t xml:space="preserve">  </w:t>
      </w:r>
      <w:r w:rsidR="00D10DEC">
        <w:t xml:space="preserve">The platform technology “is not value neutral but reflects the cultural bias, values and communicative preferences of their designers. Likewise, platforms often reinforce the values and preferences of their designers,” </w:t>
      </w:r>
      <w:r w:rsidR="00D10DEC" w:rsidRPr="00201D3A">
        <w:t>(Jin,</w:t>
      </w:r>
      <w:r w:rsidR="00201D3A" w:rsidRPr="00201D3A">
        <w:t xml:space="preserve"> 2013, p.</w:t>
      </w:r>
      <w:r w:rsidR="00D10DEC" w:rsidRPr="00201D3A">
        <w:t xml:space="preserve"> 154). </w:t>
      </w:r>
      <w:r w:rsidR="00666D5B">
        <w:t>The network society, which is built on communication technology is now central to the global economy “with US power at the center preying on global markets through the process of digital colonialism,” (</w:t>
      </w:r>
      <w:proofErr w:type="spellStart"/>
      <w:r w:rsidR="00666D5B">
        <w:t>Kwet</w:t>
      </w:r>
      <w:proofErr w:type="spellEnd"/>
      <w:r w:rsidR="00666D5B">
        <w:t>, 2022, p. 63).</w:t>
      </w:r>
      <w:r w:rsidR="00A27EAF">
        <w:t xml:space="preserve"> </w:t>
      </w:r>
      <w:r>
        <w:t>Communication technology has developed and has been distributed along Global North pathways. Because of this, unevenness in who has a voice on digital platforms can be observed. Global North countries (colonizers) historically exploited resources and labor from Global South (colonized) people, enabling development of advanced technologies in an uneven way across the globe, solidifying existing colonial norms for information flows. Most platforms used in global digital communication are owned by Global North corporations and regulated by Global North nations. It is difficult for people outside the Global North to make themselves heard because they lack access or language to do so.</w:t>
      </w:r>
    </w:p>
    <w:p w14:paraId="4E1D8431" w14:textId="1E9F482C" w:rsidR="00E9323C" w:rsidRDefault="00E9323C" w:rsidP="00E9323C">
      <w:pPr>
        <w:spacing w:line="480" w:lineRule="auto"/>
        <w:ind w:firstLine="720"/>
      </w:pPr>
      <w:r w:rsidRPr="00E9323C">
        <w:lastRenderedPageBreak/>
        <w:t>The new, technology-based network society requires low-cost labor to produce its informational products, and this work is being done in countries and by communities with little to no control over their working conditions or the abuse they are subjected to.</w:t>
      </w:r>
      <w:r>
        <w:t xml:space="preserve"> The expansion of digital communication across the globe has not eased or removed colonial labor practices but has created new ways for them to be expressed. To meet consumer demands and standards for safe content, companies who provide global digital platforms must moderate content submitted on their sites. This labor is psychologically dangerous for workers engaged in it and is primarily done in countries where resources are limited, and people need work. "Content moderators are a critical part of making…lofty Silicon Valley mission statements a reality. Their work transforms what would otherwise be an unusable, hostile space into a profitable product</w:t>
      </w:r>
      <w:r w:rsidR="00D10DEC">
        <w:t>,</w:t>
      </w:r>
      <w:r>
        <w:t>" (</w:t>
      </w:r>
      <w:proofErr w:type="spellStart"/>
      <w:r>
        <w:t>Drootin</w:t>
      </w:r>
      <w:proofErr w:type="spellEnd"/>
      <w:r>
        <w:t xml:space="preserve">, 2021, p. 1199). This work, however, is by all accounts traumatic and creates residual health problems for the workers. </w:t>
      </w:r>
    </w:p>
    <w:p w14:paraId="5591F0F7" w14:textId="29662872" w:rsidR="00E9323C" w:rsidRDefault="00E9323C" w:rsidP="00E9323C">
      <w:pPr>
        <w:spacing w:line="480" w:lineRule="auto"/>
        <w:ind w:firstLine="720"/>
      </w:pPr>
      <w:r>
        <w:t xml:space="preserve">A recent example of this is the case of content moderators working for Facebook via a sub-contractor in Kenya.  In February of 2022, TIME Magazine published an article exposing the conditions and practices Kenyan workers were forced to endure as employees moderating content for Meta’s platform Facebook. Aspects of this case directly reflect colonialist practices that are enacted within the global context of technology for social networks. Global North firms establish offices in countries all over the world, including the United States and Europe, India, Philippines, Poland, Romania, Brazil, Mexico, Kenya, Nigeria, South Africa and Egypt to provide a foundational service for media and other platforms centered around digital communication. “Sama says its mission is to provide people in places like Nairobi with ‘dignified digital work.’ Its executives can often be heard </w:t>
      </w:r>
      <w:r>
        <w:lastRenderedPageBreak/>
        <w:t>saying that the best way to help poor countries is to ‘give work, not aid.’ The company claims to have helped lift more than 50,000 people in the developing world out of poverty</w:t>
      </w:r>
      <w:r w:rsidR="00D10DEC">
        <w:t>,</w:t>
      </w:r>
      <w:r>
        <w:t xml:space="preserve">” (Perrigo, 2022). </w:t>
      </w:r>
    </w:p>
    <w:p w14:paraId="08A1174D" w14:textId="7D942DF6" w:rsidR="00E9323C" w:rsidRDefault="00E9323C" w:rsidP="00E9323C">
      <w:pPr>
        <w:spacing w:line="480" w:lineRule="auto"/>
        <w:ind w:firstLine="720"/>
      </w:pPr>
      <w:r>
        <w:t>They promote their presence as being beneficial by providing jobs, education, and access to modern technology, but the reality is very different: “content moderation is at the core of what platforms do and is essential to their functioning. Content moderation requires enormous efforts and resources, but details of what that involves – and the toll it takes on those engaged in it – are deliberately withheld from the public</w:t>
      </w:r>
      <w:r w:rsidR="00D10DEC">
        <w:t>,</w:t>
      </w:r>
      <w:r>
        <w:t>” (</w:t>
      </w:r>
      <w:proofErr w:type="spellStart"/>
      <w:r>
        <w:t>Pinchevski</w:t>
      </w:r>
      <w:proofErr w:type="spellEnd"/>
      <w:r>
        <w:t>, 2023, p. 212). In the TIME article, interviewees describe the effects of viewing intensely graphic content in long shifts, being pressured to meet quotas and not being able to take mental health breaks when they need them. The work is done 24 hours a day, seven days a week, with compulsory night shifts required. One worker described it as “modern slavery,” (Perrigo, 2022).</w:t>
      </w:r>
      <w:r w:rsidR="000A494C">
        <w:t xml:space="preserve"> </w:t>
      </w:r>
      <w:r>
        <w:t>Sama is a contracting company based in California that has contracts with large Western tech companies like Google, Microsoft, Walmart and, when the TIME Magazine story was published, Facebook. In the article, author Billy Perrigo describes content moderators as the “emergency first responders of social media,” (2022) performing the critical task of “removing illegal or banned content from Facebook before it is seen by the average user,” (Perrigo, 2022). Often the workers are immigrants or refugees from conflict zones, like Daniel Motaung from Ethiopia who was interviewed in the article. Compensation for workers in this industry is low, and resources for employees’ mental health and recovery are minimal.</w:t>
      </w:r>
    </w:p>
    <w:p w14:paraId="42A5AD68" w14:textId="3ED86821" w:rsidR="002F541A" w:rsidRPr="000658D8" w:rsidRDefault="002F541A" w:rsidP="00E9323C">
      <w:pPr>
        <w:spacing w:line="480" w:lineRule="auto"/>
        <w:ind w:firstLine="720"/>
        <w:rPr>
          <w:i/>
          <w:iCs/>
        </w:rPr>
      </w:pPr>
      <w:r>
        <w:lastRenderedPageBreak/>
        <w:t xml:space="preserve">In addition to labor exploitation that looks very similar to traditional colonial practices, </w:t>
      </w:r>
      <w:r w:rsidRPr="002F541A">
        <w:t xml:space="preserve">technology is </w:t>
      </w:r>
      <w:r>
        <w:t xml:space="preserve">being </w:t>
      </w:r>
      <w:r w:rsidRPr="002F541A">
        <w:t>develop</w:t>
      </w:r>
      <w:r>
        <w:t>ed</w:t>
      </w:r>
      <w:r w:rsidRPr="002F541A">
        <w:t xml:space="preserve"> so that there is a greater need for data collection from human sources and people all over the world are being exploited by tech companies who need human eyes and hands engaging with their applications to drive data creation.</w:t>
      </w:r>
      <w:r w:rsidR="0073175D">
        <w:t xml:space="preserve"> Paul Obi describes those people as “prosumer workers—the producers of data, that is sold to advertisers for capital and profits where it is Google, Facebook Twitter, Instagram or TikTok,” (Obi, 2024, p. 387).</w:t>
      </w:r>
      <w:r w:rsidR="0073175D" w:rsidRPr="002F541A">
        <w:t xml:space="preserve"> </w:t>
      </w:r>
      <w:r w:rsidR="0073175D">
        <w:t xml:space="preserve">Couldry and Mejias describe the practice as a new form of </w:t>
      </w:r>
      <w:r w:rsidR="000A494C">
        <w:t>colonialism, by</w:t>
      </w:r>
      <w:r w:rsidR="0073175D">
        <w:t xml:space="preserve"> “</w:t>
      </w:r>
      <w:r w:rsidRPr="002F541A">
        <w:t xml:space="preserve">normalizing the exploitation of human beings through data, just as historic colonialism appropriated territory and resources and ruled subjects for profit” (Couldry and Mejias, 2019, </w:t>
      </w:r>
      <w:r w:rsidR="000A494C">
        <w:t xml:space="preserve">p. </w:t>
      </w:r>
      <w:r w:rsidRPr="002F541A">
        <w:t>336</w:t>
      </w:r>
      <w:r w:rsidR="000A494C">
        <w:t>).</w:t>
      </w:r>
    </w:p>
    <w:p w14:paraId="08F8F328" w14:textId="0F1F88BE" w:rsidR="00C01332" w:rsidRDefault="00C01332" w:rsidP="00C01332">
      <w:pPr>
        <w:spacing w:line="480" w:lineRule="auto"/>
        <w:ind w:firstLine="720"/>
      </w:pPr>
      <w:r>
        <w:t xml:space="preserve">The network society, as well as historic colonial systems which underpin its development consist completely of human interconnections facilitated by technology. Because global technology emerged out of Global North capitalist culture and continues to be developed primarily by dominant groups in the Global North, the interactions within the network are focused on production and consumption of digital products like information, entertainment, influence, e-commerce, and other forms of digital human connection. This system requires consumers, and the consumers of digital technology expand beyond global elite or erudite to include all humans who have access to infrastructure of communication technology- the internet, devices with which to interact with the global network, and the language capability to communicate. Global North capitalist entities who seek to increase production of information and increase profits invest in providing technological access to underserved groups around the world by facilitating internet </w:t>
      </w:r>
      <w:r>
        <w:lastRenderedPageBreak/>
        <w:t>access and providing devices to people. The relationships in the new virtual colonialism are further complicated by the fact that those who are being exploited for labor and data resources are also part of the consumer base that creates the demand for their labor and data resources.</w:t>
      </w:r>
    </w:p>
    <w:p w14:paraId="48267AF0" w14:textId="28E8AA7E" w:rsidR="00B40397" w:rsidRPr="00B40397" w:rsidRDefault="00AC6E25" w:rsidP="00AC6E25">
      <w:pPr>
        <w:spacing w:line="480" w:lineRule="auto"/>
        <w:rPr>
          <w:b/>
          <w:bCs/>
        </w:rPr>
      </w:pPr>
      <w:r>
        <w:rPr>
          <w:b/>
          <w:bCs/>
        </w:rPr>
        <w:t>Emerging Virtual Colonial System</w:t>
      </w:r>
    </w:p>
    <w:p w14:paraId="7C95C7EB" w14:textId="3439EA83" w:rsidR="000D4D48" w:rsidRDefault="000D4D48" w:rsidP="000D4D48">
      <w:pPr>
        <w:spacing w:line="480" w:lineRule="auto"/>
        <w:ind w:firstLine="720"/>
      </w:pPr>
      <w:r>
        <w:t xml:space="preserve">The emerging virtual colonial system in the 21st century has many of the same characteristics present in traditional colonialism, with new aspects relating to technology and social connections across different geographies. There are disparities apparent in hierarchies between the Global North and Global </w:t>
      </w:r>
      <w:r w:rsidR="000A494C">
        <w:t>S</w:t>
      </w:r>
      <w:r>
        <w:t>outh. Power structures emerge that align with colonial themes and are driven by capitalist forces to shape social interactions across the global network. The dominant groups are no longer determined by physical geography, national identity or race, but by access to the right networks and resources. This creates different new aspects to the colonial hierarchy: social networks, consumerism, and data as information have emerged as new systems of influence and control to produce financial profits for an elite group.</w:t>
      </w:r>
    </w:p>
    <w:p w14:paraId="0089E483" w14:textId="35D5F091" w:rsidR="00AA428B" w:rsidRDefault="00AA428B" w:rsidP="00AA428B">
      <w:pPr>
        <w:spacing w:line="480" w:lineRule="auto"/>
        <w:ind w:firstLine="720"/>
      </w:pPr>
      <w:r>
        <w:t xml:space="preserve">In previous systems, production and transport of goods and information was physically constrained by the available technology of transport and communication. As the infrastructures for communication and technologies evolved, the speed, volume and capacity of those systems increased. “They all depended as well on the technologies and policies that simply made moving goods, people and information around the world easier than ever before,” (Sterns, 2020, p. 106). This increase led to increased globalization and </w:t>
      </w:r>
      <w:r>
        <w:lastRenderedPageBreak/>
        <w:t>more network connections.</w:t>
      </w:r>
      <w:r w:rsidR="006C6F30">
        <w:t xml:space="preserve"> </w:t>
      </w:r>
      <w:r w:rsidR="006C6F30" w:rsidRPr="006C6F30">
        <w:t>Considering communication infrastructure, Graham describes how digital goods and services are entrenched in pre-existing systems, rather than being simply an artifact of technology. “Instead of seeing the digital only as a discrete end product, we recognize how digital information, services, and goods are always embedded in, and part of, broader sociotechnical systems...This digitalization of goods, productions, and services is crucial to an ever-increasing amount of economic value creation” (Graham, p. 2).</w:t>
      </w:r>
    </w:p>
    <w:p w14:paraId="6BAC0BF0" w14:textId="0FF39C1C" w:rsidR="00C65EE9" w:rsidRDefault="00C65EE9" w:rsidP="00C65EE9">
      <w:pPr>
        <w:spacing w:line="480" w:lineRule="auto"/>
        <w:ind w:firstLine="720"/>
      </w:pPr>
      <w:r>
        <w:t>In the global system emerging from historic colonial roots, new networks and patterns of consumption and capitalism are no longer constrained by borders and culture but have become global, exposing vulnerable populations to new forms of exploitation but also to new ways to engage with the world and assert agency.</w:t>
      </w:r>
      <w:r w:rsidR="000403DD">
        <w:t xml:space="preserve"> However, there is also a different perspective: g</w:t>
      </w:r>
      <w:r>
        <w:t xml:space="preserve">roups that under the old colonial system would have been silenced and not given any opportunity to engage in the social structures of the colonizers, now have ways to participate because of the prevalence of communication technology. </w:t>
      </w:r>
      <w:r w:rsidR="000403DD">
        <w:t xml:space="preserve">Increasing connections across the Global North and South </w:t>
      </w:r>
      <w:r w:rsidR="002873DB">
        <w:t>means</w:t>
      </w:r>
      <w:r w:rsidR="000403DD">
        <w:t xml:space="preserve"> more voices join the conversation.</w:t>
      </w:r>
      <w:r w:rsidR="00982DA8">
        <w:t xml:space="preserve"> </w:t>
      </w:r>
      <w:r w:rsidR="00982DA8" w:rsidRPr="00982DA8">
        <w:t>This increased communication and new forms of connection across the globe are reshaping global margins. “Places that were once economic peripheries can potentially transcend their spatial, organizational, social, and political constraints...In other words, possibilities now exist for fundamentally transformed economic geographies” (Graham, 1).</w:t>
      </w:r>
    </w:p>
    <w:p w14:paraId="0FF2C7C7" w14:textId="1CD4F2A6" w:rsidR="00C65EE9" w:rsidRDefault="00C65EE9" w:rsidP="00C65EE9">
      <w:pPr>
        <w:spacing w:line="480" w:lineRule="auto"/>
        <w:ind w:firstLine="720"/>
      </w:pPr>
      <w:r w:rsidRPr="00C65EE9">
        <w:t xml:space="preserve">The development of the network society and the emergence of a virtual colonial system has created new structures of coloniality, but it has also created space for new flows between dominant and subaltern groups, allowing for a more fluid and evolving </w:t>
      </w:r>
      <w:r w:rsidRPr="00C65EE9">
        <w:lastRenderedPageBreak/>
        <w:t>relationship between them. Global South communities are using the new network society to expand their voice and create agency for themselves, thereby negating the power of the virtual colonial system.</w:t>
      </w:r>
      <w:r w:rsidR="000A494C">
        <w:t xml:space="preserve"> </w:t>
      </w:r>
      <w:r w:rsidR="00543C73">
        <w:t xml:space="preserve">An example of this is </w:t>
      </w:r>
      <w:r w:rsidRPr="00C65EE9">
        <w:t xml:space="preserve">indigenous people </w:t>
      </w:r>
      <w:r w:rsidR="00543C73">
        <w:t xml:space="preserve">on the Mosquito Coast of Nicaragua, who </w:t>
      </w:r>
      <w:r w:rsidRPr="00C65EE9">
        <w:t>have retained their identities while absorbing the aspects of other neighboring cultures that they choose to, while refusing to be colonized or let their culture be erased. They have established their own media company spanning the region, using communication technology to their own purposes</w:t>
      </w:r>
      <w:r w:rsidR="00564B8A">
        <w:t xml:space="preserve"> by “asserting hybrid, non-</w:t>
      </w:r>
      <w:r w:rsidR="00543C73">
        <w:t xml:space="preserve">modern cultural formations and relational ontologies that are helping disrupt Euro-modernist visions of a universally marketized, individuated, neoliberal social regime,” (Glynn and Cupples, </w:t>
      </w:r>
      <w:r w:rsidR="000A494C">
        <w:t>2011, p. 129).</w:t>
      </w:r>
    </w:p>
    <w:p w14:paraId="2FEFBE16" w14:textId="7D5B9282" w:rsidR="00C65EE9" w:rsidRDefault="00C65EE9" w:rsidP="00C65EE9">
      <w:pPr>
        <w:spacing w:line="480" w:lineRule="auto"/>
        <w:ind w:firstLine="720"/>
      </w:pPr>
      <w:r>
        <w:t xml:space="preserve">Workers in the content moderation industry have begun to organize and take their issues to courts across the world, exposing the conditions and abuse they suffer at the hands of </w:t>
      </w:r>
      <w:r w:rsidR="000A494C">
        <w:t>Global North</w:t>
      </w:r>
      <w:r>
        <w:t xml:space="preserve"> technology companies who profit from social media platforms but do not provide protection to the workers their platforms rely on. In the case study of the Kenyan content moderators, the workers were able to reach out to a broader, global audience about their struggles, shedding light on the inhumane practices of their contracting company and the complicity of Facebook. Even though those individuals were fired and treated unfairly, later groups were finally able to organize, and their cases are being heard in the courts. </w:t>
      </w:r>
      <w:r w:rsidR="00741C7C">
        <w:t xml:space="preserve">In 2023, “more than 150 moderators announced the formation of the African Content Moderators Union, which advocates for better pay and working conditions,” (Hendricks, 2023). </w:t>
      </w:r>
      <w:r>
        <w:t xml:space="preserve">This kind of action draws attention, and other content moderators around the world are also speaking up about the global problem of internet </w:t>
      </w:r>
      <w:r>
        <w:lastRenderedPageBreak/>
        <w:t>content moderation, forcing it into global discourse. Author Michael Kwet suggests that a global grass roots movement to “agitate directly against the status quo can help drive change from below,” (</w:t>
      </w:r>
      <w:proofErr w:type="spellStart"/>
      <w:r>
        <w:t>Kwet</w:t>
      </w:r>
      <w:proofErr w:type="spellEnd"/>
      <w:r>
        <w:t>, 202</w:t>
      </w:r>
      <w:r w:rsidR="00685CDB">
        <w:t>2</w:t>
      </w:r>
      <w:r>
        <w:t>, p. 79). He gives the example of how “boycott, divestment and sanctions were used by anti-apartheid activists in South Africa against the tech giants of their day, such as IBM and Hewlett Packard,” (</w:t>
      </w:r>
      <w:proofErr w:type="spellStart"/>
      <w:r>
        <w:t>Kwet</w:t>
      </w:r>
      <w:proofErr w:type="spellEnd"/>
      <w:r>
        <w:t>, 202</w:t>
      </w:r>
      <w:r w:rsidR="00685CDB">
        <w:t>2</w:t>
      </w:r>
      <w:r>
        <w:t>, p. 79) to force social change.</w:t>
      </w:r>
    </w:p>
    <w:p w14:paraId="3FE9A71E" w14:textId="5146F730" w:rsidR="000A494C" w:rsidRDefault="000A494C" w:rsidP="00C65EE9">
      <w:pPr>
        <w:spacing w:line="480" w:lineRule="auto"/>
        <w:ind w:firstLine="720"/>
      </w:pPr>
      <w:r>
        <w:t>The network society is a new, unique development brought about by the evolution of communication technology. Because communication is fundamentally human, naturally this technology has developed along the pathways of previous communication structures. When those structures are colonial in nature, uneven and unequally distributed, the result is con</w:t>
      </w:r>
      <w:r w:rsidR="00086A32">
        <w:t xml:space="preserve">tinuation of unjust practices and norms. However, this isn’t colonialism. This is coloniality in the virtual space and structures are fluid. When groups can gain access to infrastructure, they can use this social network to create new levels of agency for themselves. People can harness the power of global communication to create, share, and solidify their society. </w:t>
      </w:r>
      <w:r>
        <w:t xml:space="preserve"> </w:t>
      </w:r>
    </w:p>
    <w:p w14:paraId="6C9AFADB" w14:textId="5FCEB2FF" w:rsidR="00086A32" w:rsidRDefault="00086A32" w:rsidP="00C65EE9">
      <w:pPr>
        <w:spacing w:line="480" w:lineRule="auto"/>
        <w:ind w:firstLine="720"/>
      </w:pPr>
      <w:r>
        <w:t xml:space="preserve">The case of content moderators is an example of exploitation reminiscent of colonial times, but because of interconnection in the digital network, workers can tell their stories to the global audience, pressuring companies and governments to act. Across the world, not just in Africa, content moderators are organizing and speaking up for better conditions and psychological protection. On Nicaragua’s Mosquito Coast, indigenous people are using communication network and technology introduced by colonization to unify themselves and connect with other indigenous communities, strengthening their connections.  </w:t>
      </w:r>
      <w:r w:rsidR="00D834EA">
        <w:t>This development of i</w:t>
      </w:r>
      <w:r w:rsidR="007C3411" w:rsidRPr="007C3411">
        <w:t xml:space="preserve">ndigenous media production on the Mosquito Coast </w:t>
      </w:r>
      <w:r w:rsidR="007C3411" w:rsidRPr="007C3411">
        <w:lastRenderedPageBreak/>
        <w:t>show</w:t>
      </w:r>
      <w:r w:rsidR="00D834EA">
        <w:t>s</w:t>
      </w:r>
      <w:r w:rsidR="007C3411" w:rsidRPr="007C3411">
        <w:t xml:space="preserve"> an interesting perspective of Global South first people subsuming technology and communication infrastructures for their own purposes and contributing to a growing network of shared cultural connections, showing “it is important to underscore the historical receptiveness of the </w:t>
      </w:r>
      <w:proofErr w:type="spellStart"/>
      <w:r w:rsidR="007C3411" w:rsidRPr="007C3411">
        <w:t>Costeños</w:t>
      </w:r>
      <w:proofErr w:type="spellEnd"/>
      <w:r w:rsidR="007C3411" w:rsidRPr="007C3411">
        <w:t xml:space="preserve"> to global influences, their embrace of and self-identification with cosmopolitanism, and the potential that television has for remaking the local in politically significant ways” (Glynn and Cupples, 2011, p. 121).</w:t>
      </w:r>
    </w:p>
    <w:p w14:paraId="1B5C222B" w14:textId="3D109324" w:rsidR="00C65EE9" w:rsidRDefault="00634F64" w:rsidP="00C65EE9">
      <w:pPr>
        <w:spacing w:line="480" w:lineRule="auto"/>
        <w:ind w:firstLine="720"/>
      </w:pPr>
      <w:r>
        <w:t>Understanding t</w:t>
      </w:r>
      <w:r w:rsidRPr="00634F64">
        <w:t>h</w:t>
      </w:r>
      <w:r>
        <w:t>e intersection of a network society and coloniality</w:t>
      </w:r>
      <w:r w:rsidRPr="00634F64">
        <w:t xml:space="preserve"> is important to the current discourse because as new global communication technologies develop, the influences of historic systems on information flows and the unevenness of access to technology and communication infrastructures must be identified and addressed so historic patterns of subjugation are not repeated.</w:t>
      </w:r>
      <w:r>
        <w:t xml:space="preserve"> </w:t>
      </w:r>
    </w:p>
    <w:p w14:paraId="0BF6482D" w14:textId="023B952F" w:rsidR="00F60C1A" w:rsidRDefault="00F60C1A">
      <w:r>
        <w:br w:type="page"/>
      </w:r>
    </w:p>
    <w:p w14:paraId="42D6CD58" w14:textId="2B8AB2E2" w:rsidR="00F60C1A" w:rsidRDefault="009A3760" w:rsidP="00F60C1A">
      <w:pPr>
        <w:spacing w:line="480" w:lineRule="auto"/>
        <w:ind w:firstLine="720"/>
        <w:jc w:val="center"/>
        <w:rPr>
          <w:b/>
          <w:bCs/>
        </w:rPr>
      </w:pPr>
      <w:r>
        <w:rPr>
          <w:b/>
          <w:bCs/>
        </w:rPr>
        <w:lastRenderedPageBreak/>
        <w:t>References</w:t>
      </w:r>
    </w:p>
    <w:p w14:paraId="72AD0CCC" w14:textId="48165621" w:rsidR="00C53811" w:rsidRDefault="00C53811" w:rsidP="00F24F38">
      <w:pPr>
        <w:spacing w:line="480" w:lineRule="auto"/>
        <w:ind w:left="720" w:hanging="720"/>
      </w:pPr>
      <w:r w:rsidRPr="00C53811">
        <w:t xml:space="preserve">Castells, M. (2010). The rise of the network society (2nd ed., Vol. 1). Wiley-Blackwell. </w:t>
      </w:r>
      <w:hyperlink r:id="rId6" w:history="1">
        <w:r w:rsidR="002463CB" w:rsidRPr="0070395C">
          <w:rPr>
            <w:rStyle w:val="Hyperlink"/>
          </w:rPr>
          <w:t>https://doi.org/10.1002/9781444319514</w:t>
        </w:r>
      </w:hyperlink>
      <w:r w:rsidR="002463CB">
        <w:t xml:space="preserve"> </w:t>
      </w:r>
    </w:p>
    <w:p w14:paraId="42A3F7BB" w14:textId="0CF8B6F6" w:rsidR="00021AB9" w:rsidRDefault="00021AB9" w:rsidP="00F24F38">
      <w:pPr>
        <w:spacing w:line="480" w:lineRule="auto"/>
        <w:ind w:left="720" w:hanging="720"/>
      </w:pPr>
      <w:r w:rsidRPr="00021AB9">
        <w:t xml:space="preserve">Couldry, N., &amp; Mejias, U. A. (2019). Data colonialism: Rethinking big data’s relation to the contemporary subject. </w:t>
      </w:r>
      <w:r w:rsidRPr="00021AB9">
        <w:rPr>
          <w:i/>
          <w:iCs/>
        </w:rPr>
        <w:t>Television &amp; New Media, 20</w:t>
      </w:r>
      <w:r w:rsidRPr="00021AB9">
        <w:t xml:space="preserve">(4), 336–349. </w:t>
      </w:r>
      <w:hyperlink r:id="rId7" w:history="1">
        <w:r w:rsidRPr="0070395C">
          <w:rPr>
            <w:rStyle w:val="Hyperlink"/>
          </w:rPr>
          <w:t>https://doi.org/10.1177/1527476418796632</w:t>
        </w:r>
      </w:hyperlink>
      <w:r>
        <w:t xml:space="preserve"> </w:t>
      </w:r>
    </w:p>
    <w:p w14:paraId="049E9AE6" w14:textId="4B70011A" w:rsidR="00B07DDE" w:rsidRDefault="00B07DDE" w:rsidP="00F24F38">
      <w:pPr>
        <w:spacing w:line="480" w:lineRule="auto"/>
        <w:ind w:left="720" w:hanging="720"/>
      </w:pPr>
      <w:proofErr w:type="spellStart"/>
      <w:r w:rsidRPr="00B07DDE">
        <w:t>Drootin</w:t>
      </w:r>
      <w:proofErr w:type="spellEnd"/>
      <w:r w:rsidRPr="00B07DDE">
        <w:t xml:space="preserve">, A. (2021). “Community guidelines”: The legal implications of workplace conditions for internet content moderators. </w:t>
      </w:r>
      <w:r w:rsidRPr="00B07DDE">
        <w:rPr>
          <w:i/>
          <w:iCs/>
        </w:rPr>
        <w:t>Fordham Law Review, 89</w:t>
      </w:r>
      <w:r w:rsidRPr="00B07DDE">
        <w:t xml:space="preserve">(5), 1975–2014. </w:t>
      </w:r>
      <w:hyperlink r:id="rId8" w:history="1">
        <w:r w:rsidRPr="0070395C">
          <w:rPr>
            <w:rStyle w:val="Hyperlink"/>
          </w:rPr>
          <w:t>https://ir.lawnet.fordham.edu/flr/vol89/iss5/4</w:t>
        </w:r>
      </w:hyperlink>
      <w:r>
        <w:t xml:space="preserve"> </w:t>
      </w:r>
    </w:p>
    <w:p w14:paraId="5994D55B" w14:textId="77777777" w:rsidR="00872069" w:rsidRDefault="00872069" w:rsidP="00872069">
      <w:pPr>
        <w:spacing w:line="480" w:lineRule="auto"/>
        <w:ind w:left="720" w:hanging="720"/>
      </w:pPr>
      <w:r w:rsidRPr="005F038E">
        <w:t xml:space="preserve">Glynn, Kevin; and Cupples, Julie (2011). Indigenous </w:t>
      </w:r>
      <w:proofErr w:type="spellStart"/>
      <w:r w:rsidRPr="005F038E">
        <w:t>MediaSpace</w:t>
      </w:r>
      <w:proofErr w:type="spellEnd"/>
      <w:r w:rsidRPr="005F038E">
        <w:t xml:space="preserve"> and the Production of (Trans)locality on Nicaragua's Mosquito Coast. </w:t>
      </w:r>
      <w:r w:rsidRPr="005F038E">
        <w:rPr>
          <w:i/>
          <w:iCs/>
        </w:rPr>
        <w:t>Television New Media 12</w:t>
      </w:r>
      <w:r w:rsidRPr="005F038E">
        <w:t>(2): 101–135. </w:t>
      </w:r>
      <w:hyperlink r:id="rId9" w:history="1">
        <w:r w:rsidRPr="005F038E">
          <w:rPr>
            <w:rStyle w:val="Hyperlink"/>
          </w:rPr>
          <w:t>https://doi-org.prox.lib.ncsu.edu/10.1177/1527476410365882</w:t>
        </w:r>
      </w:hyperlink>
    </w:p>
    <w:p w14:paraId="1BDA03D1" w14:textId="7837BB86" w:rsidR="0013032C" w:rsidRDefault="0013032C" w:rsidP="00872069">
      <w:pPr>
        <w:spacing w:line="480" w:lineRule="auto"/>
        <w:ind w:left="720" w:hanging="720"/>
      </w:pPr>
      <w:r w:rsidRPr="0013032C">
        <w:t xml:space="preserve">Graham, M. (2019). </w:t>
      </w:r>
      <w:r w:rsidRPr="0013032C">
        <w:rPr>
          <w:i/>
          <w:iCs/>
        </w:rPr>
        <w:t>Changing connectivity and digital economies at global margins</w:t>
      </w:r>
      <w:r w:rsidRPr="0013032C">
        <w:t xml:space="preserve">. MIT Press. </w:t>
      </w:r>
      <w:hyperlink r:id="rId10" w:history="1">
        <w:r w:rsidRPr="0070395C">
          <w:rPr>
            <w:rStyle w:val="Hyperlink"/>
          </w:rPr>
          <w:t>https://doi.org/10.7551/mitpress/10890.001.0001</w:t>
        </w:r>
      </w:hyperlink>
    </w:p>
    <w:p w14:paraId="6C983D17" w14:textId="46F0B845" w:rsidR="00E527F7" w:rsidRDefault="00E527F7" w:rsidP="00872069">
      <w:pPr>
        <w:spacing w:line="480" w:lineRule="auto"/>
        <w:ind w:left="720" w:hanging="720"/>
      </w:pPr>
      <w:r w:rsidRPr="00E527F7">
        <w:t>Jin,</w:t>
      </w:r>
      <w:r w:rsidRPr="00E527F7">
        <w:rPr>
          <w:rFonts w:ascii="Arial" w:hAnsi="Arial" w:cs="Arial"/>
        </w:rPr>
        <w:t> </w:t>
      </w:r>
      <w:r w:rsidRPr="00E527F7">
        <w:t>Dal Yong (2013).</w:t>
      </w:r>
      <w:r w:rsidRPr="00E527F7">
        <w:rPr>
          <w:rFonts w:ascii="Arial" w:hAnsi="Arial" w:cs="Arial"/>
        </w:rPr>
        <w:t> </w:t>
      </w:r>
      <w:r w:rsidRPr="00E527F7">
        <w:t>The Construction of platform imperialism in the globalization era.</w:t>
      </w:r>
      <w:r w:rsidRPr="00E527F7">
        <w:rPr>
          <w:rFonts w:ascii="Arial" w:hAnsi="Arial" w:cs="Arial"/>
        </w:rPr>
        <w:t> </w:t>
      </w:r>
      <w:r w:rsidRPr="00E527F7">
        <w:rPr>
          <w:i/>
          <w:iCs/>
        </w:rPr>
        <w:t>Triple-C</w:t>
      </w:r>
      <w:r w:rsidRPr="00E527F7">
        <w:rPr>
          <w:rFonts w:ascii="Arial" w:hAnsi="Arial" w:cs="Arial"/>
        </w:rPr>
        <w:t> </w:t>
      </w:r>
      <w:r w:rsidRPr="00E527F7">
        <w:t xml:space="preserve">11(1): 145-172. </w:t>
      </w:r>
    </w:p>
    <w:p w14:paraId="595AF656" w14:textId="575488C9" w:rsidR="00D14F65" w:rsidRDefault="00D14F65" w:rsidP="00F24F38">
      <w:pPr>
        <w:spacing w:line="480" w:lineRule="auto"/>
        <w:ind w:left="720" w:hanging="720"/>
      </w:pPr>
      <w:proofErr w:type="spellStart"/>
      <w:r w:rsidRPr="00D14F65">
        <w:t>Kwet</w:t>
      </w:r>
      <w:proofErr w:type="spellEnd"/>
      <w:r w:rsidRPr="00D14F65">
        <w:t>, M. (2019). Digital colonialism: US empire and the new imperialism in the Global South. </w:t>
      </w:r>
      <w:r w:rsidRPr="00D14F65">
        <w:rPr>
          <w:i/>
          <w:iCs/>
        </w:rPr>
        <w:t>Race &amp; Class 60</w:t>
      </w:r>
      <w:r w:rsidRPr="00D14F65">
        <w:t xml:space="preserve">(4): 3-26. </w:t>
      </w:r>
      <w:hyperlink r:id="rId11" w:history="1">
        <w:r w:rsidRPr="00D14F65">
          <w:rPr>
            <w:rStyle w:val="Hyperlink"/>
          </w:rPr>
          <w:t>https://doi.org/10.1177/0306396818823172</w:t>
        </w:r>
      </w:hyperlink>
    </w:p>
    <w:p w14:paraId="613A29C0" w14:textId="1007CA87" w:rsidR="001B07E2" w:rsidRDefault="001B07E2" w:rsidP="00F24F38">
      <w:pPr>
        <w:spacing w:line="480" w:lineRule="auto"/>
        <w:ind w:left="720" w:hanging="720"/>
      </w:pPr>
      <w:proofErr w:type="spellStart"/>
      <w:r w:rsidRPr="001B07E2">
        <w:t>Kwet</w:t>
      </w:r>
      <w:proofErr w:type="spellEnd"/>
      <w:r w:rsidRPr="001B07E2">
        <w:t xml:space="preserve">, M. (2022). </w:t>
      </w:r>
      <w:r w:rsidRPr="00BB35F7">
        <w:t>The digital tech deal: A socialist framework for the twenty-first century</w:t>
      </w:r>
      <w:r w:rsidRPr="001B07E2">
        <w:t xml:space="preserve">. </w:t>
      </w:r>
      <w:r w:rsidRPr="001B07E2">
        <w:rPr>
          <w:i/>
          <w:iCs/>
        </w:rPr>
        <w:t>Race &amp; Class, 63</w:t>
      </w:r>
      <w:r w:rsidRPr="001B07E2">
        <w:t xml:space="preserve">(3), 63–84. </w:t>
      </w:r>
      <w:hyperlink r:id="rId12" w:history="1">
        <w:r w:rsidRPr="001B07E2">
          <w:rPr>
            <w:rStyle w:val="Hyperlink"/>
          </w:rPr>
          <w:t>https://doi.org/10.1177/03063968211064478</w:t>
        </w:r>
      </w:hyperlink>
    </w:p>
    <w:p w14:paraId="6F299314" w14:textId="5B4E018C" w:rsidR="002463CB" w:rsidRDefault="00511BDF" w:rsidP="00F24F38">
      <w:pPr>
        <w:spacing w:line="480" w:lineRule="auto"/>
        <w:ind w:left="720" w:hanging="720"/>
      </w:pPr>
      <w:r w:rsidRPr="00511BDF">
        <w:lastRenderedPageBreak/>
        <w:t xml:space="preserve">Milan, S., &amp; </w:t>
      </w:r>
      <w:proofErr w:type="spellStart"/>
      <w:r w:rsidRPr="00511BDF">
        <w:t>Treré</w:t>
      </w:r>
      <w:proofErr w:type="spellEnd"/>
      <w:r w:rsidRPr="00511BDF">
        <w:t xml:space="preserve">, E. (2019). Big Data from the South(s): Beyond data universalism. </w:t>
      </w:r>
      <w:r w:rsidRPr="00511BDF">
        <w:rPr>
          <w:i/>
          <w:iCs/>
        </w:rPr>
        <w:t>Television &amp; New Media, 20</w:t>
      </w:r>
      <w:r w:rsidRPr="00511BDF">
        <w:t>(4), 319–335.</w:t>
      </w:r>
      <w:r w:rsidR="00FE1D2F">
        <w:t xml:space="preserve"> </w:t>
      </w:r>
      <w:hyperlink r:id="rId13" w:history="1">
        <w:r w:rsidR="00FE1D2F" w:rsidRPr="0070395C">
          <w:rPr>
            <w:rStyle w:val="Hyperlink"/>
          </w:rPr>
          <w:t>https://doi.org/10.1177/1527476419837739</w:t>
        </w:r>
      </w:hyperlink>
    </w:p>
    <w:p w14:paraId="24C3F70D" w14:textId="5DE181D4" w:rsidR="00085E80" w:rsidRDefault="00085E80" w:rsidP="00F24F38">
      <w:pPr>
        <w:spacing w:line="480" w:lineRule="auto"/>
        <w:ind w:left="720" w:hanging="720"/>
      </w:pPr>
      <w:r w:rsidRPr="00085E80">
        <w:t xml:space="preserve">Obi, P. A. (2024, April 26). </w:t>
      </w:r>
      <w:proofErr w:type="spellStart"/>
      <w:r w:rsidRPr="00085E80">
        <w:t>Labouring</w:t>
      </w:r>
      <w:proofErr w:type="spellEnd"/>
      <w:r w:rsidRPr="00085E80">
        <w:t xml:space="preserve"> and smiling: Re</w:t>
      </w:r>
      <w:r w:rsidRPr="00085E80">
        <w:noBreakHyphen/>
        <w:t xml:space="preserve">imagining digital colonialism in Africa, Silicon Valley Big Techs, and the politics of prosumer capitalism in Nigeria. </w:t>
      </w:r>
      <w:proofErr w:type="spellStart"/>
      <w:r w:rsidRPr="00085E80">
        <w:rPr>
          <w:i/>
          <w:iCs/>
        </w:rPr>
        <w:t>tripleC</w:t>
      </w:r>
      <w:proofErr w:type="spellEnd"/>
      <w:r w:rsidRPr="00085E80">
        <w:rPr>
          <w:i/>
          <w:iCs/>
        </w:rPr>
        <w:t>: Communication, Capitalism &amp; Critique, 22</w:t>
      </w:r>
      <w:r w:rsidRPr="00085E80">
        <w:t xml:space="preserve">(1), 381–395. </w:t>
      </w:r>
      <w:hyperlink r:id="rId14" w:history="1">
        <w:r w:rsidR="00A76FBF" w:rsidRPr="0070395C">
          <w:rPr>
            <w:rStyle w:val="Hyperlink"/>
          </w:rPr>
          <w:t>https://doi.org/10.31269/triplec.v22i1.1472</w:t>
        </w:r>
      </w:hyperlink>
    </w:p>
    <w:p w14:paraId="465CD46D" w14:textId="0F3C9443" w:rsidR="00A76FBF" w:rsidRDefault="00A76FBF" w:rsidP="00F24F38">
      <w:pPr>
        <w:spacing w:line="480" w:lineRule="auto"/>
        <w:ind w:left="720" w:hanging="720"/>
      </w:pPr>
      <w:r w:rsidRPr="00A76FBF">
        <w:t xml:space="preserve">Perrigo, B. (2022, February 14). </w:t>
      </w:r>
      <w:r w:rsidRPr="00A76FBF">
        <w:rPr>
          <w:i/>
          <w:iCs/>
        </w:rPr>
        <w:t>Inside Facebook’s African sweatshop</w:t>
      </w:r>
      <w:r w:rsidRPr="00A76FBF">
        <w:t xml:space="preserve">. TIME. </w:t>
      </w:r>
      <w:hyperlink r:id="rId15" w:tgtFrame="_new" w:history="1">
        <w:r w:rsidRPr="00A76FBF">
          <w:rPr>
            <w:rStyle w:val="Hyperlink"/>
          </w:rPr>
          <w:t>https://time.com/6147458/facebook-africa-content-moderation-employee-treatment/</w:t>
        </w:r>
      </w:hyperlink>
    </w:p>
    <w:p w14:paraId="4F87F028" w14:textId="436C3258" w:rsidR="00881A1F" w:rsidRDefault="00E121D7" w:rsidP="00F24F38">
      <w:pPr>
        <w:spacing w:line="480" w:lineRule="auto"/>
        <w:ind w:left="720" w:hanging="720"/>
      </w:pPr>
      <w:r w:rsidRPr="00E121D7">
        <w:t xml:space="preserve">Pieterse, J. N. (2015). </w:t>
      </w:r>
      <w:r w:rsidRPr="00E121D7">
        <w:rPr>
          <w:i/>
          <w:iCs/>
        </w:rPr>
        <w:t>Globalization and culture: Global mélange</w:t>
      </w:r>
      <w:r w:rsidRPr="00E121D7">
        <w:t xml:space="preserve"> (3rd ed.). Rowman &amp; Littlefield.</w:t>
      </w:r>
      <w:r w:rsidR="003735F5">
        <w:t xml:space="preserve"> </w:t>
      </w:r>
    </w:p>
    <w:p w14:paraId="7B69CFD7" w14:textId="77777777" w:rsidR="0032712E" w:rsidRPr="0032712E" w:rsidRDefault="0032712E" w:rsidP="0032712E">
      <w:pPr>
        <w:spacing w:line="480" w:lineRule="auto"/>
        <w:ind w:left="720" w:hanging="720"/>
      </w:pPr>
      <w:r w:rsidRPr="0032712E">
        <w:t xml:space="preserve">Pinchevski, A. (2022). Social media’s canaries: content moderators between digital labor and mediated trauma. </w:t>
      </w:r>
      <w:r w:rsidRPr="0032712E">
        <w:rPr>
          <w:i/>
          <w:iCs/>
        </w:rPr>
        <w:t>Media, Culture &amp; Society</w:t>
      </w:r>
      <w:r w:rsidRPr="0032712E">
        <w:t xml:space="preserve">, </w:t>
      </w:r>
      <w:r w:rsidRPr="0032712E">
        <w:rPr>
          <w:i/>
          <w:iCs/>
        </w:rPr>
        <w:t>45</w:t>
      </w:r>
      <w:r w:rsidRPr="0032712E">
        <w:t xml:space="preserve">(1), 212-221. </w:t>
      </w:r>
      <w:hyperlink r:id="rId16" w:history="1">
        <w:r w:rsidRPr="0032712E">
          <w:rPr>
            <w:rStyle w:val="Hyperlink"/>
          </w:rPr>
          <w:t>https://doi.org/10.1177/01634437221122226</w:t>
        </w:r>
      </w:hyperlink>
      <w:r w:rsidRPr="0032712E">
        <w:t xml:space="preserve"> (Original work published 2023)</w:t>
      </w:r>
    </w:p>
    <w:p w14:paraId="70477CC3" w14:textId="001FEB67" w:rsidR="0032712E" w:rsidRDefault="00075DA4" w:rsidP="00F24F38">
      <w:pPr>
        <w:spacing w:line="480" w:lineRule="auto"/>
        <w:ind w:left="720" w:hanging="720"/>
      </w:pPr>
      <w:r w:rsidRPr="00075DA4">
        <w:t xml:space="preserve">Stearns, P. N. (2019). </w:t>
      </w:r>
      <w:r w:rsidRPr="00075DA4">
        <w:rPr>
          <w:i/>
          <w:iCs/>
        </w:rPr>
        <w:t>Globalization in world history</w:t>
      </w:r>
      <w:r w:rsidRPr="00075DA4">
        <w:t xml:space="preserve"> (3rd ed.). Routledge. </w:t>
      </w:r>
      <w:hyperlink r:id="rId17" w:tgtFrame="_new" w:history="1">
        <w:r w:rsidRPr="00075DA4">
          <w:rPr>
            <w:rStyle w:val="Hyperlink"/>
          </w:rPr>
          <w:t>https://doi.org/10.4324/9780429299032</w:t>
        </w:r>
      </w:hyperlink>
    </w:p>
    <w:p w14:paraId="5A76BCA2" w14:textId="77777777" w:rsidR="00FE1D2F" w:rsidRPr="00C53811" w:rsidRDefault="00FE1D2F" w:rsidP="00F24F38">
      <w:pPr>
        <w:spacing w:line="480" w:lineRule="auto"/>
        <w:ind w:left="720" w:hanging="720"/>
      </w:pPr>
    </w:p>
    <w:sectPr w:rsidR="00FE1D2F" w:rsidRPr="00C53811">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4BD8C" w14:textId="77777777" w:rsidR="00DF2724" w:rsidRDefault="00DF2724" w:rsidP="00986C25">
      <w:pPr>
        <w:spacing w:after="0" w:line="240" w:lineRule="auto"/>
      </w:pPr>
      <w:r>
        <w:separator/>
      </w:r>
    </w:p>
  </w:endnote>
  <w:endnote w:type="continuationSeparator" w:id="0">
    <w:p w14:paraId="1AEB0DB4" w14:textId="77777777" w:rsidR="00DF2724" w:rsidRDefault="00DF2724" w:rsidP="00986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C0298" w14:textId="77777777" w:rsidR="00DF2724" w:rsidRDefault="00DF2724" w:rsidP="00986C25">
      <w:pPr>
        <w:spacing w:after="0" w:line="240" w:lineRule="auto"/>
      </w:pPr>
      <w:r>
        <w:separator/>
      </w:r>
    </w:p>
  </w:footnote>
  <w:footnote w:type="continuationSeparator" w:id="0">
    <w:p w14:paraId="135D1CF7" w14:textId="77777777" w:rsidR="00DF2724" w:rsidRDefault="00DF2724" w:rsidP="00986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4318384"/>
      <w:docPartObj>
        <w:docPartGallery w:val="Page Numbers (Top of Page)"/>
        <w:docPartUnique/>
      </w:docPartObj>
    </w:sdtPr>
    <w:sdtEndPr>
      <w:rPr>
        <w:noProof/>
      </w:rPr>
    </w:sdtEndPr>
    <w:sdtContent>
      <w:p w14:paraId="60A7E244" w14:textId="538F642F" w:rsidR="00986C25" w:rsidRDefault="00986C2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78EF287" w14:textId="77777777" w:rsidR="00986C25" w:rsidRDefault="00986C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BE2"/>
    <w:rsid w:val="00021AB9"/>
    <w:rsid w:val="000403DD"/>
    <w:rsid w:val="000658D8"/>
    <w:rsid w:val="00075DA4"/>
    <w:rsid w:val="00082363"/>
    <w:rsid w:val="00085E80"/>
    <w:rsid w:val="00086A32"/>
    <w:rsid w:val="000A3FE3"/>
    <w:rsid w:val="000A494C"/>
    <w:rsid w:val="000D2946"/>
    <w:rsid w:val="000D4D48"/>
    <w:rsid w:val="0013032C"/>
    <w:rsid w:val="001B07E2"/>
    <w:rsid w:val="001B0AA2"/>
    <w:rsid w:val="001C3528"/>
    <w:rsid w:val="001F01BB"/>
    <w:rsid w:val="00201D3A"/>
    <w:rsid w:val="002463CB"/>
    <w:rsid w:val="002600D8"/>
    <w:rsid w:val="002873DB"/>
    <w:rsid w:val="002E46D3"/>
    <w:rsid w:val="002F541A"/>
    <w:rsid w:val="0032712E"/>
    <w:rsid w:val="003506BA"/>
    <w:rsid w:val="003735F5"/>
    <w:rsid w:val="004A69CB"/>
    <w:rsid w:val="004F79D7"/>
    <w:rsid w:val="00511BDF"/>
    <w:rsid w:val="00543C73"/>
    <w:rsid w:val="005543A1"/>
    <w:rsid w:val="00564B8A"/>
    <w:rsid w:val="00587196"/>
    <w:rsid w:val="00592D88"/>
    <w:rsid w:val="00593E5D"/>
    <w:rsid w:val="005A78C5"/>
    <w:rsid w:val="005D6B20"/>
    <w:rsid w:val="005E2931"/>
    <w:rsid w:val="005E74D4"/>
    <w:rsid w:val="005F038E"/>
    <w:rsid w:val="00632DB9"/>
    <w:rsid w:val="00634F64"/>
    <w:rsid w:val="00666D5B"/>
    <w:rsid w:val="00685CDB"/>
    <w:rsid w:val="00694869"/>
    <w:rsid w:val="006C6F30"/>
    <w:rsid w:val="006E68B5"/>
    <w:rsid w:val="006F16F7"/>
    <w:rsid w:val="0073175D"/>
    <w:rsid w:val="00741C7C"/>
    <w:rsid w:val="00754C71"/>
    <w:rsid w:val="00773BE2"/>
    <w:rsid w:val="00791316"/>
    <w:rsid w:val="007A157B"/>
    <w:rsid w:val="007C3411"/>
    <w:rsid w:val="00825D77"/>
    <w:rsid w:val="0083563B"/>
    <w:rsid w:val="0084553D"/>
    <w:rsid w:val="00872069"/>
    <w:rsid w:val="00881A1F"/>
    <w:rsid w:val="008A0C41"/>
    <w:rsid w:val="008B05F7"/>
    <w:rsid w:val="008D1972"/>
    <w:rsid w:val="009474A8"/>
    <w:rsid w:val="00981AAE"/>
    <w:rsid w:val="00982DA8"/>
    <w:rsid w:val="00986C25"/>
    <w:rsid w:val="009A3760"/>
    <w:rsid w:val="009C34AA"/>
    <w:rsid w:val="009D3045"/>
    <w:rsid w:val="00A01A3A"/>
    <w:rsid w:val="00A27EAF"/>
    <w:rsid w:val="00A362D0"/>
    <w:rsid w:val="00A6361F"/>
    <w:rsid w:val="00A66767"/>
    <w:rsid w:val="00A76FBF"/>
    <w:rsid w:val="00AA428B"/>
    <w:rsid w:val="00AC6E25"/>
    <w:rsid w:val="00AE0285"/>
    <w:rsid w:val="00B02BD9"/>
    <w:rsid w:val="00B07DDE"/>
    <w:rsid w:val="00B1149F"/>
    <w:rsid w:val="00B40397"/>
    <w:rsid w:val="00BB35F7"/>
    <w:rsid w:val="00BE2B45"/>
    <w:rsid w:val="00C01332"/>
    <w:rsid w:val="00C21C00"/>
    <w:rsid w:val="00C53811"/>
    <w:rsid w:val="00C65EE9"/>
    <w:rsid w:val="00C774D7"/>
    <w:rsid w:val="00CA4D47"/>
    <w:rsid w:val="00CD3F6A"/>
    <w:rsid w:val="00D05C12"/>
    <w:rsid w:val="00D10DEC"/>
    <w:rsid w:val="00D14F65"/>
    <w:rsid w:val="00D1665F"/>
    <w:rsid w:val="00D246FA"/>
    <w:rsid w:val="00D25356"/>
    <w:rsid w:val="00D4302D"/>
    <w:rsid w:val="00D834EA"/>
    <w:rsid w:val="00D8392C"/>
    <w:rsid w:val="00DB00BA"/>
    <w:rsid w:val="00DF2724"/>
    <w:rsid w:val="00E121D7"/>
    <w:rsid w:val="00E527F7"/>
    <w:rsid w:val="00E82A90"/>
    <w:rsid w:val="00E9323C"/>
    <w:rsid w:val="00F04858"/>
    <w:rsid w:val="00F04F89"/>
    <w:rsid w:val="00F13A4E"/>
    <w:rsid w:val="00F14E24"/>
    <w:rsid w:val="00F24F38"/>
    <w:rsid w:val="00F60845"/>
    <w:rsid w:val="00F60C1A"/>
    <w:rsid w:val="00FE1D2F"/>
    <w:rsid w:val="00FE2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87E83"/>
  <w15:chartTrackingRefBased/>
  <w15:docId w15:val="{118E9F5A-FBF1-43AF-ABF7-95202894B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3B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3B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3B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3B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3B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3B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3B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3B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3B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3B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3B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3B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3B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3B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3B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3B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3B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3BE2"/>
    <w:rPr>
      <w:rFonts w:eastAsiaTheme="majorEastAsia" w:cstheme="majorBidi"/>
      <w:color w:val="272727" w:themeColor="text1" w:themeTint="D8"/>
    </w:rPr>
  </w:style>
  <w:style w:type="paragraph" w:styleId="Title">
    <w:name w:val="Title"/>
    <w:basedOn w:val="Normal"/>
    <w:next w:val="Normal"/>
    <w:link w:val="TitleChar"/>
    <w:uiPriority w:val="10"/>
    <w:qFormat/>
    <w:rsid w:val="00773B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3B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3B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3B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3BE2"/>
    <w:pPr>
      <w:spacing w:before="160"/>
      <w:jc w:val="center"/>
    </w:pPr>
    <w:rPr>
      <w:i/>
      <w:iCs/>
      <w:color w:val="404040" w:themeColor="text1" w:themeTint="BF"/>
    </w:rPr>
  </w:style>
  <w:style w:type="character" w:customStyle="1" w:styleId="QuoteChar">
    <w:name w:val="Quote Char"/>
    <w:basedOn w:val="DefaultParagraphFont"/>
    <w:link w:val="Quote"/>
    <w:uiPriority w:val="29"/>
    <w:rsid w:val="00773BE2"/>
    <w:rPr>
      <w:i/>
      <w:iCs/>
      <w:color w:val="404040" w:themeColor="text1" w:themeTint="BF"/>
    </w:rPr>
  </w:style>
  <w:style w:type="paragraph" w:styleId="ListParagraph">
    <w:name w:val="List Paragraph"/>
    <w:basedOn w:val="Normal"/>
    <w:uiPriority w:val="34"/>
    <w:qFormat/>
    <w:rsid w:val="00773BE2"/>
    <w:pPr>
      <w:ind w:left="720"/>
      <w:contextualSpacing/>
    </w:pPr>
  </w:style>
  <w:style w:type="character" w:styleId="IntenseEmphasis">
    <w:name w:val="Intense Emphasis"/>
    <w:basedOn w:val="DefaultParagraphFont"/>
    <w:uiPriority w:val="21"/>
    <w:qFormat/>
    <w:rsid w:val="00773BE2"/>
    <w:rPr>
      <w:i/>
      <w:iCs/>
      <w:color w:val="0F4761" w:themeColor="accent1" w:themeShade="BF"/>
    </w:rPr>
  </w:style>
  <w:style w:type="paragraph" w:styleId="IntenseQuote">
    <w:name w:val="Intense Quote"/>
    <w:basedOn w:val="Normal"/>
    <w:next w:val="Normal"/>
    <w:link w:val="IntenseQuoteChar"/>
    <w:uiPriority w:val="30"/>
    <w:qFormat/>
    <w:rsid w:val="00773B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3BE2"/>
    <w:rPr>
      <w:i/>
      <w:iCs/>
      <w:color w:val="0F4761" w:themeColor="accent1" w:themeShade="BF"/>
    </w:rPr>
  </w:style>
  <w:style w:type="character" w:styleId="IntenseReference">
    <w:name w:val="Intense Reference"/>
    <w:basedOn w:val="DefaultParagraphFont"/>
    <w:uiPriority w:val="32"/>
    <w:qFormat/>
    <w:rsid w:val="00773BE2"/>
    <w:rPr>
      <w:b/>
      <w:bCs/>
      <w:smallCaps/>
      <w:color w:val="0F4761" w:themeColor="accent1" w:themeShade="BF"/>
      <w:spacing w:val="5"/>
    </w:rPr>
  </w:style>
  <w:style w:type="paragraph" w:styleId="Header">
    <w:name w:val="header"/>
    <w:basedOn w:val="Normal"/>
    <w:link w:val="HeaderChar"/>
    <w:uiPriority w:val="99"/>
    <w:unhideWhenUsed/>
    <w:rsid w:val="00986C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6C25"/>
  </w:style>
  <w:style w:type="paragraph" w:styleId="Footer">
    <w:name w:val="footer"/>
    <w:basedOn w:val="Normal"/>
    <w:link w:val="FooterChar"/>
    <w:uiPriority w:val="99"/>
    <w:unhideWhenUsed/>
    <w:rsid w:val="00986C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6C25"/>
  </w:style>
  <w:style w:type="character" w:styleId="Hyperlink">
    <w:name w:val="Hyperlink"/>
    <w:basedOn w:val="DefaultParagraphFont"/>
    <w:uiPriority w:val="99"/>
    <w:unhideWhenUsed/>
    <w:rsid w:val="002463CB"/>
    <w:rPr>
      <w:color w:val="467886" w:themeColor="hyperlink"/>
      <w:u w:val="single"/>
    </w:rPr>
  </w:style>
  <w:style w:type="character" w:styleId="UnresolvedMention">
    <w:name w:val="Unresolved Mention"/>
    <w:basedOn w:val="DefaultParagraphFont"/>
    <w:uiPriority w:val="99"/>
    <w:semiHidden/>
    <w:unhideWhenUsed/>
    <w:rsid w:val="00246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03195">
      <w:bodyDiv w:val="1"/>
      <w:marLeft w:val="0"/>
      <w:marRight w:val="0"/>
      <w:marTop w:val="0"/>
      <w:marBottom w:val="0"/>
      <w:divBdr>
        <w:top w:val="none" w:sz="0" w:space="0" w:color="auto"/>
        <w:left w:val="none" w:sz="0" w:space="0" w:color="auto"/>
        <w:bottom w:val="none" w:sz="0" w:space="0" w:color="auto"/>
        <w:right w:val="none" w:sz="0" w:space="0" w:color="auto"/>
      </w:divBdr>
    </w:div>
    <w:div w:id="769938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lawnet.fordham.edu/flr/vol89/iss5/4" TargetMode="External"/><Relationship Id="rId13" Type="http://schemas.openxmlformats.org/officeDocument/2006/relationships/hyperlink" Target="https://doi.org/10.1177/1527476419837739"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1177/1527476418796632" TargetMode="External"/><Relationship Id="rId12" Type="http://schemas.openxmlformats.org/officeDocument/2006/relationships/hyperlink" Target="https://doi.org/10.1177/03063968211064478" TargetMode="External"/><Relationship Id="rId17" Type="http://schemas.openxmlformats.org/officeDocument/2006/relationships/hyperlink" Target="https://doi.org/10.4324/9780429299032" TargetMode="External"/><Relationship Id="rId2" Type="http://schemas.openxmlformats.org/officeDocument/2006/relationships/settings" Target="settings.xml"/><Relationship Id="rId16" Type="http://schemas.openxmlformats.org/officeDocument/2006/relationships/hyperlink" Target="https://doi.org/10.1177/01634437221122226"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1002/9781444319514" TargetMode="External"/><Relationship Id="rId11" Type="http://schemas.openxmlformats.org/officeDocument/2006/relationships/hyperlink" Target="https://doi.org/10.1177/0306396818823172" TargetMode="External"/><Relationship Id="rId5" Type="http://schemas.openxmlformats.org/officeDocument/2006/relationships/endnotes" Target="endnotes.xml"/><Relationship Id="rId15" Type="http://schemas.openxmlformats.org/officeDocument/2006/relationships/hyperlink" Target="https://time.com/6147458/facebook-africa-content-moderation-employee-treatment/" TargetMode="External"/><Relationship Id="rId10" Type="http://schemas.openxmlformats.org/officeDocument/2006/relationships/hyperlink" Target="https://doi.org/10.7551/mitpress/10890.001.0001"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oi-org.prox.lib.ncsu.edu/10.1177%2F1527476410365882" TargetMode="External"/><Relationship Id="rId14" Type="http://schemas.openxmlformats.org/officeDocument/2006/relationships/hyperlink" Target="https://doi.org/10.31269/triplec.v22i1.14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15</Pages>
  <Words>3244</Words>
  <Characters>19132</Characters>
  <Application>Microsoft Office Word</Application>
  <DocSecurity>0</DocSecurity>
  <Lines>289</Lines>
  <Paragraphs>43</Paragraphs>
  <ScaleCrop>false</ScaleCrop>
  <HeadingPairs>
    <vt:vector size="2" baseType="variant">
      <vt:variant>
        <vt:lpstr>Title</vt:lpstr>
      </vt:variant>
      <vt:variant>
        <vt:i4>1</vt:i4>
      </vt:variant>
    </vt:vector>
  </HeadingPairs>
  <TitlesOfParts>
    <vt:vector size="1" baseType="lpstr">
      <vt:lpstr/>
    </vt:vector>
  </TitlesOfParts>
  <Company>ExxonMobil</Company>
  <LinksUpToDate>false</LinksUpToDate>
  <CharactersWithSpaces>22342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Sarah Evans</cp:lastModifiedBy>
  <cp:revision>73</cp:revision>
  <dcterms:created xsi:type="dcterms:W3CDTF">2025-06-21T03:10:00Z</dcterms:created>
  <dcterms:modified xsi:type="dcterms:W3CDTF">2026-03-16T14:21:00Z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92277f7-5f06-4209-8c6b-d3f322455381_Enabled">
    <vt:lpwstr>true</vt:lpwstr>
  </property>
  <property fmtid="{D5CDD505-2E9C-101B-9397-08002B2CF9AE}" pid="3" name="MSIP_Label_092277f7-5f06-4209-8c6b-d3f322455381_SetDate">
    <vt:lpwstr>2025-06-18T03:45:14Z</vt:lpwstr>
  </property>
  <property fmtid="{D5CDD505-2E9C-101B-9397-08002B2CF9AE}" pid="4" name="MSIP_Label_092277f7-5f06-4209-8c6b-d3f322455381_Method">
    <vt:lpwstr>Standard</vt:lpwstr>
  </property>
  <property fmtid="{D5CDD505-2E9C-101B-9397-08002B2CF9AE}" pid="5" name="MSIP_Label_092277f7-5f06-4209-8c6b-d3f322455381_Name">
    <vt:lpwstr>Unclassified</vt:lpwstr>
  </property>
  <property fmtid="{D5CDD505-2E9C-101B-9397-08002B2CF9AE}" pid="6" name="MSIP_Label_092277f7-5f06-4209-8c6b-d3f322455381_SiteId">
    <vt:lpwstr>d1ee1acd-bc7a-4bc4-a787-938c49a83906</vt:lpwstr>
  </property>
  <property fmtid="{D5CDD505-2E9C-101B-9397-08002B2CF9AE}" pid="7" name="MSIP_Label_092277f7-5f06-4209-8c6b-d3f322455381_ActionId">
    <vt:lpwstr>a442ddd9-443a-4ce4-98df-45a0403820b5</vt:lpwstr>
  </property>
  <property fmtid="{D5CDD505-2E9C-101B-9397-08002B2CF9AE}" pid="8" name="MSIP_Label_092277f7-5f06-4209-8c6b-d3f322455381_ContentBits">
    <vt:lpwstr>0</vt:lpwstr>
  </property>
  <property fmtid="{D5CDD505-2E9C-101B-9397-08002B2CF9AE}" pid="9" name="MSIP_Label_092277f7-5f06-4209-8c6b-d3f322455381_Tag">
    <vt:lpwstr>10, 3, 0, 1</vt:lpwstr>
  </property>
  <property fmtid="{D5CDD505-2E9C-101B-9397-08002B2CF9AE}" pid="10" name="_AdHocReviewCycleID">
    <vt:i4>1737447958</vt:i4>
  </property>
  <property fmtid="{D5CDD505-2E9C-101B-9397-08002B2CF9AE}" pid="11" name="_NewReviewCycle">
    <vt:lpwstr/>
  </property>
  <property fmtid="{D5CDD505-2E9C-101B-9397-08002B2CF9AE}" pid="12" name="_EmailSubject">
    <vt:lpwstr>final paper</vt:lpwstr>
  </property>
  <property fmtid="{D5CDD505-2E9C-101B-9397-08002B2CF9AE}" pid="13" name="_AuthorEmail">
    <vt:lpwstr>sarah.d.evans@exxonmobil.com</vt:lpwstr>
  </property>
  <property fmtid="{D5CDD505-2E9C-101B-9397-08002B2CF9AE}" pid="14" name="_AuthorEmailDisplayName">
    <vt:lpwstr>Evans, Sarah D</vt:lpwstr>
  </property>
  <property fmtid="{D5CDD505-2E9C-101B-9397-08002B2CF9AE}" pid="15" name="_ReviewingToolsShownOnce">
    <vt:lpwstr/>
  </property>
</Properties>
</file>